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170E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华文新魏" w:eastAsia="华文新魏"/>
          <w:b w:val="0"/>
          <w:color w:val="000000"/>
          <w:spacing w:val="42"/>
          <w:sz w:val="32"/>
          <w:szCs w:val="32"/>
          <w:lang w:eastAsia="zh-CN"/>
        </w:rPr>
      </w:pPr>
      <w:r>
        <w:rPr>
          <w:rFonts w:hint="eastAsia" w:ascii="华文新魏" w:eastAsia="华文新魏"/>
          <w:b w:val="0"/>
          <w:color w:val="000000"/>
          <w:spacing w:val="42"/>
          <w:sz w:val="32"/>
          <w:szCs w:val="32"/>
          <w:lang w:eastAsia="zh-CN"/>
        </w:rPr>
        <w:t>宁波培源股份有限公司</w:t>
      </w:r>
    </w:p>
    <w:p w14:paraId="382B936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华文新魏" w:eastAsia="华文新魏"/>
          <w:b w:val="0"/>
          <w:color w:val="000000"/>
          <w:spacing w:val="42"/>
          <w:sz w:val="32"/>
          <w:szCs w:val="32"/>
          <w:lang w:eastAsia="zh-CN"/>
        </w:rPr>
      </w:pPr>
      <w:r>
        <w:rPr>
          <w:rFonts w:hint="eastAsia" w:ascii="华文新魏" w:eastAsia="华文新魏"/>
          <w:b w:val="0"/>
          <w:color w:val="000000"/>
          <w:spacing w:val="42"/>
          <w:sz w:val="32"/>
          <w:szCs w:val="32"/>
          <w:lang w:eastAsia="zh-CN"/>
        </w:rPr>
        <w:t>新增磷化线项目</w:t>
      </w:r>
    </w:p>
    <w:p w14:paraId="1CE5777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华文新魏" w:eastAsia="华文新魏"/>
          <w:color w:val="000000"/>
        </w:rPr>
      </w:pPr>
      <w:r>
        <w:rPr>
          <w:rFonts w:hint="eastAsia" w:ascii="华文新魏" w:eastAsia="华文新魏"/>
          <w:b w:val="0"/>
          <w:color w:val="000000"/>
          <w:spacing w:val="42"/>
          <w:sz w:val="32"/>
          <w:szCs w:val="32"/>
          <w:lang w:eastAsia="zh-CN"/>
        </w:rPr>
        <w:t>竣工环境保护验收意见</w:t>
      </w:r>
    </w:p>
    <w:p w14:paraId="0B446656">
      <w:pPr>
        <w:adjustRightInd w:val="0"/>
        <w:snapToGrid w:val="0"/>
        <w:spacing w:line="400" w:lineRule="exact"/>
        <w:ind w:firstLine="480" w:firstLineChars="200"/>
        <w:rPr>
          <w:rFonts w:hint="eastAsia" w:ascii="华文新魏" w:eastAsia="华文新魏"/>
          <w:color w:val="000000"/>
        </w:rPr>
      </w:pPr>
      <w:r>
        <w:rPr>
          <w:rFonts w:hint="eastAsia" w:ascii="华文新魏" w:eastAsia="华文新魏"/>
          <w:color w:val="000000"/>
        </w:rPr>
        <w:t>根据</w:t>
      </w:r>
      <w:r>
        <w:rPr>
          <w:rFonts w:ascii="华文新魏" w:eastAsia="华文新魏"/>
          <w:color w:val="000000"/>
        </w:rPr>
        <w:t>环境保护部文件国环规环评[2017]4号《建设项目竣工环境保护验收暂行办法》</w:t>
      </w:r>
      <w:r>
        <w:rPr>
          <w:rFonts w:hint="eastAsia" w:ascii="华文新魏" w:eastAsia="华文新魏"/>
          <w:color w:val="000000"/>
        </w:rPr>
        <w:t>等相关文件要求，为</w:t>
      </w:r>
      <w:r>
        <w:rPr>
          <w:rFonts w:ascii="华文新魏" w:eastAsia="华文新魏"/>
          <w:color w:val="000000"/>
        </w:rPr>
        <w:t>规范建设项目环境保护设施竣工验收的程序和标准，强化建设单位环境保护主体责任</w:t>
      </w:r>
      <w:r>
        <w:rPr>
          <w:rFonts w:hint="eastAsia" w:ascii="华文新魏" w:eastAsia="华文新魏"/>
          <w:color w:val="000000"/>
        </w:rPr>
        <w:t>，现启动本项目</w:t>
      </w:r>
      <w:r>
        <w:rPr>
          <w:rFonts w:ascii="华文新魏" w:eastAsia="华文新魏"/>
          <w:color w:val="000000"/>
        </w:rPr>
        <w:t>配套建设的环境保护设施验收</w:t>
      </w:r>
      <w:r>
        <w:rPr>
          <w:rFonts w:hint="eastAsia" w:ascii="华文新魏" w:eastAsia="华文新魏"/>
          <w:color w:val="000000"/>
        </w:rPr>
        <w:t>程序</w:t>
      </w:r>
      <w:r>
        <w:rPr>
          <w:rFonts w:ascii="华文新魏" w:eastAsia="华文新魏"/>
          <w:color w:val="000000"/>
        </w:rPr>
        <w:t>，</w:t>
      </w:r>
      <w:r>
        <w:rPr>
          <w:rFonts w:hint="eastAsia" w:ascii="华文新魏" w:eastAsia="华文新魏"/>
          <w:color w:val="000000"/>
        </w:rPr>
        <w:t>并</w:t>
      </w:r>
      <w:r>
        <w:rPr>
          <w:rFonts w:ascii="华文新魏" w:eastAsia="华文新魏"/>
          <w:color w:val="000000"/>
        </w:rPr>
        <w:t>编制验收报告，公开相关信息，接受社会监督</w:t>
      </w:r>
      <w:r>
        <w:rPr>
          <w:rFonts w:hint="eastAsia" w:ascii="华文新魏" w:eastAsia="华文新魏"/>
          <w:color w:val="000000"/>
        </w:rPr>
        <w:t>。</w:t>
      </w:r>
    </w:p>
    <w:p w14:paraId="6E1A38B2">
      <w:pPr>
        <w:numPr>
          <w:ilvl w:val="0"/>
          <w:numId w:val="1"/>
        </w:numPr>
        <w:adjustRightInd w:val="0"/>
        <w:snapToGrid w:val="0"/>
        <w:spacing w:before="156" w:beforeLines="50" w:line="400" w:lineRule="exact"/>
        <w:ind w:left="0" w:firstLine="0"/>
        <w:rPr>
          <w:rFonts w:hint="eastAsia" w:ascii="华文新魏" w:eastAsia="华文新魏"/>
          <w:b/>
          <w:color w:val="000000"/>
          <w:sz w:val="28"/>
          <w:szCs w:val="28"/>
        </w:rPr>
      </w:pPr>
      <w:r>
        <w:rPr>
          <w:rFonts w:hint="eastAsia" w:ascii="华文新魏" w:eastAsia="华文新魏"/>
          <w:b/>
          <w:color w:val="000000"/>
          <w:sz w:val="28"/>
          <w:szCs w:val="28"/>
        </w:rPr>
        <w:t>项目概况</w:t>
      </w:r>
    </w:p>
    <w:p w14:paraId="3B8FDDAE">
      <w:pPr>
        <w:adjustRightInd w:val="0"/>
        <w:snapToGrid w:val="0"/>
        <w:spacing w:line="400" w:lineRule="exact"/>
        <w:ind w:left="1920" w:leftChars="200" w:hanging="1440" w:hangingChars="600"/>
        <w:jc w:val="both"/>
        <w:rPr>
          <w:rFonts w:hint="default" w:ascii="华文新魏" w:hAnsi="Times New Roman" w:eastAsia="华文新魏"/>
          <w:color w:val="000000"/>
          <w:lang w:val="en-US" w:eastAsia="zh-CN"/>
        </w:rPr>
      </w:pPr>
      <w:r>
        <w:rPr>
          <w:rFonts w:hint="eastAsia" w:ascii="华文新魏" w:eastAsia="华文新魏"/>
          <w:color w:val="000000"/>
        </w:rPr>
        <w:t>项目名称：</w:t>
      </w:r>
      <w:r>
        <w:rPr>
          <w:rFonts w:hint="eastAsia" w:ascii="华文新魏" w:eastAsia="华文新魏"/>
          <w:color w:val="000000"/>
          <w:lang w:val="en-US" w:eastAsia="zh-CN"/>
        </w:rPr>
        <w:t>宁波培源股份有限公司新增磷化线项目</w:t>
      </w:r>
    </w:p>
    <w:p w14:paraId="18ABFFBC">
      <w:pPr>
        <w:adjustRightInd w:val="0"/>
        <w:snapToGrid w:val="0"/>
        <w:spacing w:line="400" w:lineRule="exact"/>
        <w:ind w:firstLine="480" w:firstLineChars="200"/>
        <w:rPr>
          <w:rFonts w:hint="eastAsia" w:ascii="华文新魏" w:eastAsia="华文新魏"/>
          <w:color w:val="000000"/>
          <w:lang w:eastAsia="zh-CN"/>
        </w:rPr>
      </w:pPr>
      <w:r>
        <w:rPr>
          <w:rFonts w:hint="eastAsia" w:ascii="华文新魏" w:eastAsia="华文新魏"/>
          <w:color w:val="000000"/>
        </w:rPr>
        <w:t>项目所在地：</w:t>
      </w:r>
      <w:r>
        <w:rPr>
          <w:rFonts w:hint="eastAsia" w:eastAsia="华文新魏"/>
          <w:lang w:eastAsia="zh-CN"/>
        </w:rPr>
        <w:t>宁波市海曙区洞桥镇（工业园）</w:t>
      </w:r>
    </w:p>
    <w:p w14:paraId="48B77B6F">
      <w:pPr>
        <w:adjustRightInd w:val="0"/>
        <w:snapToGrid w:val="0"/>
        <w:spacing w:line="400" w:lineRule="exact"/>
        <w:ind w:firstLine="480" w:firstLineChars="200"/>
        <w:rPr>
          <w:rFonts w:hint="eastAsia" w:ascii="华文新魏" w:hAnsi="Times New Roman" w:eastAsia="华文新魏"/>
          <w:color w:val="000000"/>
        </w:rPr>
      </w:pPr>
      <w:r>
        <w:rPr>
          <w:rFonts w:hint="eastAsia" w:ascii="华文新魏" w:eastAsia="华文新魏"/>
          <w:color w:val="000000"/>
        </w:rPr>
        <w:t>建设单位：</w:t>
      </w:r>
      <w:r>
        <w:rPr>
          <w:rFonts w:hint="eastAsia" w:ascii="华文新魏" w:eastAsia="华文新魏"/>
          <w:color w:val="000000"/>
          <w:lang w:val="en-US" w:eastAsia="zh-CN"/>
        </w:rPr>
        <w:t>宁波培源股份有限公司</w:t>
      </w:r>
    </w:p>
    <w:p w14:paraId="253D606A">
      <w:pPr>
        <w:adjustRightInd w:val="0"/>
        <w:snapToGrid w:val="0"/>
        <w:spacing w:line="400" w:lineRule="exact"/>
        <w:ind w:firstLine="480" w:firstLineChars="200"/>
        <w:rPr>
          <w:rFonts w:hint="default" w:ascii="Times New Roman" w:hAnsi="Times New Roman" w:eastAsia="宋体" w:cs="Times New Roman"/>
          <w:color w:val="000000"/>
        </w:rPr>
      </w:pPr>
      <w:r>
        <w:rPr>
          <w:rFonts w:ascii="华文新魏" w:eastAsia="华文新魏"/>
          <w:color w:val="000000"/>
        </w:rPr>
        <w:t>项目总投资：总投</w:t>
      </w:r>
      <w:r>
        <w:rPr>
          <w:rFonts w:hint="default" w:ascii="Times New Roman" w:hAnsi="Times New Roman" w:eastAsia="宋体" w:cs="Times New Roman"/>
          <w:color w:val="000000"/>
          <w:lang w:eastAsia="zh-CN"/>
        </w:rPr>
        <w:t>资</w:t>
      </w:r>
      <w:r>
        <w:rPr>
          <w:rFonts w:hint="eastAsia" w:cs="Times New Roman"/>
          <w:kern w:val="0"/>
          <w:sz w:val="24"/>
          <w:szCs w:val="24"/>
          <w:lang w:val="en-US" w:eastAsia="zh-CN"/>
        </w:rPr>
        <w:t>36</w:t>
      </w:r>
      <w:r>
        <w:rPr>
          <w:rFonts w:hint="default" w:ascii="Times New Roman" w:hAnsi="Times New Roman" w:eastAsia="宋体" w:cs="Times New Roman"/>
          <w:color w:val="000000"/>
          <w:lang w:eastAsia="zh-CN"/>
        </w:rPr>
        <w:t>万元</w:t>
      </w:r>
    </w:p>
    <w:p w14:paraId="75A6E2EB">
      <w:pPr>
        <w:adjustRightInd w:val="0"/>
        <w:snapToGrid w:val="0"/>
        <w:spacing w:line="400" w:lineRule="exact"/>
        <w:ind w:firstLine="480" w:firstLineChars="200"/>
        <w:rPr>
          <w:rFonts w:hint="eastAsia" w:ascii="Times New Roman" w:hAnsi="Times New Roman" w:eastAsia="宋体" w:cs="Times New Roman"/>
          <w:color w:val="000000"/>
          <w:lang w:val="en-US" w:eastAsia="zh-CN"/>
        </w:rPr>
      </w:pPr>
      <w:r>
        <w:rPr>
          <w:rFonts w:hint="default" w:ascii="Times New Roman" w:hAnsi="Times New Roman" w:eastAsia="宋体" w:cs="Times New Roman"/>
          <w:color w:val="000000"/>
        </w:rPr>
        <w:t>项目用地：</w:t>
      </w:r>
      <w:r>
        <w:rPr>
          <w:rFonts w:hint="eastAsia" w:ascii="Times New Roman" w:hAnsi="Times New Roman" w:cs="Times New Roman"/>
        </w:rPr>
        <w:t>本</w:t>
      </w:r>
      <w:r>
        <w:rPr>
          <w:rFonts w:hint="eastAsia" w:cs="Times New Roman"/>
          <w:lang w:val="en-US" w:eastAsia="zh-CN"/>
        </w:rPr>
        <w:t>项目</w:t>
      </w:r>
      <w:r>
        <w:rPr>
          <w:rFonts w:hint="eastAsia" w:ascii="Times New Roman" w:hAnsi="Times New Roman" w:eastAsia="宋体"/>
          <w:color w:val="auto"/>
          <w:sz w:val="24"/>
          <w:szCs w:val="24"/>
          <w:lang w:eastAsia="zh-CN"/>
        </w:rPr>
        <w:t>总占地面积</w:t>
      </w:r>
      <w:r>
        <w:rPr>
          <w:rFonts w:hint="eastAsia" w:ascii="Times New Roman" w:hAnsi="Times New Roman" w:eastAsia="宋体" w:cs="Times New Roman"/>
          <w:bCs/>
          <w:color w:val="auto"/>
          <w:kern w:val="2"/>
          <w:sz w:val="21"/>
          <w:szCs w:val="21"/>
          <w:lang w:val="en-US" w:eastAsia="zh-CN"/>
        </w:rPr>
        <w:t>27593.30</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olor w:val="auto"/>
          <w:sz w:val="24"/>
          <w:szCs w:val="24"/>
          <w:lang w:eastAsia="zh-CN"/>
        </w:rPr>
        <w:t>，总建筑面积</w:t>
      </w:r>
      <w:r>
        <w:rPr>
          <w:rFonts w:hint="eastAsia" w:ascii="Times New Roman" w:hAnsi="Times New Roman" w:eastAsia="宋体" w:cs="Times New Roman"/>
          <w:bCs/>
          <w:color w:val="auto"/>
          <w:kern w:val="2"/>
          <w:sz w:val="21"/>
          <w:szCs w:val="21"/>
          <w:lang w:val="en-US" w:eastAsia="zh-CN"/>
        </w:rPr>
        <w:t>27593.30</w:t>
      </w:r>
      <w:r>
        <w:rPr>
          <w:rFonts w:hint="eastAsia" w:ascii="Times New Roman" w:hAnsi="Times New Roman" w:eastAsia="宋体"/>
          <w:color w:val="auto"/>
          <w:sz w:val="24"/>
          <w:szCs w:val="24"/>
          <w:lang w:eastAsia="zh-CN"/>
        </w:rPr>
        <w:t>㎡</w:t>
      </w:r>
      <w:r>
        <w:rPr>
          <w:rFonts w:hint="eastAsia" w:ascii="Times New Roman" w:hAnsi="Times New Roman" w:cs="Times New Roman"/>
        </w:rPr>
        <w:t>。</w:t>
      </w:r>
    </w:p>
    <w:p w14:paraId="4FF6CE11">
      <w:pPr>
        <w:numPr>
          <w:ilvl w:val="0"/>
          <w:numId w:val="1"/>
        </w:numPr>
        <w:adjustRightInd w:val="0"/>
        <w:snapToGrid w:val="0"/>
        <w:spacing w:before="156" w:beforeLines="50" w:line="400" w:lineRule="exact"/>
        <w:ind w:left="0" w:firstLine="0"/>
        <w:rPr>
          <w:rFonts w:hint="eastAsia" w:ascii="华文新魏" w:eastAsia="华文新魏"/>
          <w:b/>
          <w:color w:val="000000"/>
          <w:sz w:val="28"/>
          <w:szCs w:val="28"/>
        </w:rPr>
      </w:pPr>
      <w:r>
        <w:rPr>
          <w:rFonts w:hint="eastAsia" w:ascii="华文新魏" w:eastAsia="华文新魏"/>
          <w:b/>
          <w:color w:val="000000"/>
          <w:sz w:val="28"/>
          <w:szCs w:val="28"/>
        </w:rPr>
        <w:t>“三废”排放及防治措施</w:t>
      </w:r>
    </w:p>
    <w:p w14:paraId="516738B9">
      <w:pPr>
        <w:adjustRightInd w:val="0"/>
        <w:snapToGrid w:val="0"/>
        <w:spacing w:before="156" w:beforeLines="50" w:line="400" w:lineRule="exact"/>
        <w:jc w:val="center"/>
        <w:rPr>
          <w:rFonts w:hint="eastAsia" w:ascii="华文新魏" w:eastAsia="华文新魏"/>
          <w:color w:val="000000"/>
        </w:rPr>
      </w:pPr>
      <w:r>
        <w:rPr>
          <w:rFonts w:hint="eastAsia" w:ascii="华文新魏" w:eastAsia="华文新魏"/>
          <w:color w:val="000000"/>
        </w:rPr>
        <w:t>表1 本项目“三废”排放及防治措施</w:t>
      </w:r>
    </w:p>
    <w:tbl>
      <w:tblPr>
        <w:tblStyle w:val="2"/>
        <w:tblW w:w="5004"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419"/>
        <w:gridCol w:w="1081"/>
        <w:gridCol w:w="3754"/>
        <w:gridCol w:w="3059"/>
      </w:tblGrid>
      <w:tr w14:paraId="00573DB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52" w:type="pct"/>
            <w:tcBorders>
              <w:tl2br w:val="nil"/>
              <w:tr2bl w:val="nil"/>
            </w:tcBorders>
            <w:noWrap w:val="0"/>
            <w:vAlign w:val="center"/>
          </w:tcPr>
          <w:p w14:paraId="7EDD3D3E">
            <w:pPr>
              <w:widowControl/>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名称</w:t>
            </w:r>
          </w:p>
        </w:tc>
        <w:tc>
          <w:tcPr>
            <w:tcW w:w="650" w:type="pct"/>
            <w:tcBorders>
              <w:tl2br w:val="nil"/>
              <w:tr2bl w:val="nil"/>
            </w:tcBorders>
            <w:noWrap w:val="0"/>
            <w:vAlign w:val="center"/>
          </w:tcPr>
          <w:p w14:paraId="6E346F26">
            <w:pPr>
              <w:widowControl/>
              <w:adjustRightInd/>
              <w:snapToGrid/>
              <w:spacing w:after="0" w:line="240" w:lineRule="auto"/>
              <w:jc w:val="center"/>
              <w:rPr>
                <w:rFonts w:hint="default"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工程类别</w:t>
            </w:r>
          </w:p>
        </w:tc>
        <w:tc>
          <w:tcPr>
            <w:tcW w:w="2257" w:type="pct"/>
            <w:tcBorders>
              <w:tl2br w:val="nil"/>
              <w:tr2bl w:val="nil"/>
            </w:tcBorders>
            <w:noWrap w:val="0"/>
            <w:vAlign w:val="center"/>
          </w:tcPr>
          <w:p w14:paraId="4DE02295">
            <w:pPr>
              <w:widowControl/>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环评设计</w:t>
            </w:r>
            <w:r>
              <w:rPr>
                <w:rFonts w:ascii="Times New Roman" w:hAnsi="Times New Roman" w:eastAsia="宋体" w:cs="Times New Roman"/>
                <w:color w:val="auto"/>
                <w:sz w:val="21"/>
                <w:szCs w:val="21"/>
                <w:lang w:eastAsia="zh-CN"/>
              </w:rPr>
              <w:t>工程内容</w:t>
            </w:r>
          </w:p>
        </w:tc>
        <w:tc>
          <w:tcPr>
            <w:tcW w:w="1839" w:type="pct"/>
            <w:tcBorders>
              <w:tl2br w:val="nil"/>
              <w:tr2bl w:val="nil"/>
            </w:tcBorders>
            <w:noWrap w:val="0"/>
            <w:vAlign w:val="center"/>
          </w:tcPr>
          <w:p w14:paraId="5D815431">
            <w:pPr>
              <w:widowControl/>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实际建设内容</w:t>
            </w:r>
          </w:p>
        </w:tc>
      </w:tr>
      <w:tr w14:paraId="0DFFB66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52" w:type="pct"/>
            <w:vMerge w:val="restart"/>
            <w:tcBorders>
              <w:tl2br w:val="nil"/>
              <w:tr2bl w:val="nil"/>
            </w:tcBorders>
            <w:noWrap w:val="0"/>
            <w:vAlign w:val="center"/>
          </w:tcPr>
          <w:p w14:paraId="64375013">
            <w:pPr>
              <w:widowControl/>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环保工程</w:t>
            </w:r>
          </w:p>
        </w:tc>
        <w:tc>
          <w:tcPr>
            <w:tcW w:w="650" w:type="pct"/>
            <w:tcBorders>
              <w:tl2br w:val="nil"/>
              <w:tr2bl w:val="nil"/>
            </w:tcBorders>
            <w:noWrap w:val="0"/>
            <w:vAlign w:val="center"/>
          </w:tcPr>
          <w:p w14:paraId="1A8B8312">
            <w:pPr>
              <w:widowControl/>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废气治理</w:t>
            </w:r>
          </w:p>
        </w:tc>
        <w:tc>
          <w:tcPr>
            <w:tcW w:w="3754" w:type="dxa"/>
            <w:tcBorders>
              <w:tl2br w:val="nil"/>
              <w:tr2bl w:val="nil"/>
            </w:tcBorders>
            <w:noWrap w:val="0"/>
            <w:vAlign w:val="center"/>
          </w:tcPr>
          <w:p w14:paraId="45932B23">
            <w:pPr>
              <w:widowControl/>
              <w:adjustRightInd/>
              <w:snapToGrid/>
              <w:spacing w:after="0" w:line="240" w:lineRule="auto"/>
              <w:jc w:val="both"/>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磷化线废气：磷化线整体U型封闭，磷化线生产过程中产生的有机废气和酸性废气采用顶吸的方式收集后由酸雾喷淋塔（TA001）处理后，尾气由15m高排气简</w:t>
            </w:r>
            <w:r>
              <w:rPr>
                <w:rFonts w:hint="eastAsia" w:ascii="Times New Roman" w:hAnsi="Times New Roman" w:eastAsia="宋体" w:cs="Times New Roman"/>
                <w:color w:val="auto"/>
                <w:sz w:val="21"/>
                <w:szCs w:val="21"/>
                <w:lang w:val="en-US" w:eastAsia="zh-CN"/>
              </w:rPr>
              <w:t>（DA001）</w:t>
            </w:r>
            <w:r>
              <w:rPr>
                <w:rFonts w:hint="eastAsia" w:ascii="Times New Roman" w:hAnsi="Times New Roman" w:eastAsia="宋体" w:cs="Times New Roman"/>
                <w:color w:val="auto"/>
                <w:sz w:val="21"/>
                <w:szCs w:val="21"/>
                <w:lang w:eastAsia="zh-CN"/>
              </w:rPr>
              <w:t>高空排放</w:t>
            </w:r>
            <w:r>
              <w:rPr>
                <w:rFonts w:hint="eastAsia" w:ascii="Times New Roman" w:hAnsi="Times New Roman" w:eastAsia="宋体" w:cs="Times New Roman"/>
                <w:color w:val="auto"/>
                <w:sz w:val="21"/>
                <w:szCs w:val="21"/>
                <w:lang w:val="en-US" w:eastAsia="zh-CN"/>
              </w:rPr>
              <w:t>。</w:t>
            </w:r>
          </w:p>
          <w:p w14:paraId="36C6FCAE">
            <w:pPr>
              <w:widowControl/>
              <w:adjustRightInd/>
              <w:snapToGrid/>
              <w:spacing w:after="0" w:line="240" w:lineRule="auto"/>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抛光粉尘：抛光粉尘通过设备自带的湿式除尘器（</w:t>
            </w:r>
            <w:r>
              <w:rPr>
                <w:rFonts w:hint="eastAsia" w:ascii="Times New Roman" w:hAnsi="Times New Roman" w:eastAsia="宋体" w:cs="Times New Roman"/>
                <w:color w:val="auto"/>
                <w:sz w:val="21"/>
                <w:szCs w:val="21"/>
                <w:lang w:val="en-US" w:eastAsia="zh-CN"/>
              </w:rPr>
              <w:t>TA002</w:t>
            </w:r>
            <w:r>
              <w:rPr>
                <w:rFonts w:hint="default" w:ascii="Times New Roman" w:hAnsi="Times New Roman" w:eastAsia="宋体" w:cs="Times New Roman"/>
                <w:color w:val="auto"/>
                <w:sz w:val="21"/>
                <w:szCs w:val="21"/>
                <w:lang w:val="en-US" w:eastAsia="zh-CN"/>
              </w:rPr>
              <w:t>）处理达标后，通过一根15m高排气筒</w:t>
            </w:r>
            <w:r>
              <w:rPr>
                <w:rFonts w:hint="eastAsia" w:ascii="Times New Roman" w:hAnsi="Times New Roman" w:eastAsia="宋体" w:cs="Times New Roman"/>
                <w:color w:val="auto"/>
                <w:sz w:val="21"/>
                <w:szCs w:val="21"/>
                <w:lang w:val="en-US" w:eastAsia="zh-CN"/>
              </w:rPr>
              <w:t>（DA002）</w:t>
            </w:r>
            <w:r>
              <w:rPr>
                <w:rFonts w:hint="default" w:ascii="Times New Roman" w:hAnsi="Times New Roman" w:eastAsia="宋体" w:cs="Times New Roman"/>
                <w:color w:val="auto"/>
                <w:sz w:val="21"/>
                <w:szCs w:val="21"/>
                <w:lang w:val="en-US" w:eastAsia="zh-CN"/>
              </w:rPr>
              <w:t>排放。</w:t>
            </w:r>
          </w:p>
        </w:tc>
        <w:tc>
          <w:tcPr>
            <w:tcW w:w="3059" w:type="dxa"/>
            <w:tcBorders>
              <w:tl2br w:val="nil"/>
              <w:tr2bl w:val="nil"/>
            </w:tcBorders>
            <w:noWrap w:val="0"/>
            <w:vAlign w:val="center"/>
          </w:tcPr>
          <w:p w14:paraId="18898F14">
            <w:pPr>
              <w:widowControl/>
              <w:adjustRightInd/>
              <w:snapToGrid/>
              <w:spacing w:after="0" w:line="240" w:lineRule="auto"/>
              <w:jc w:val="both"/>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磷化线废气：磷化线整体U型封闭，磷化线生产过程中产生的有机废气和酸性废气采用顶吸的方式收集后由酸雾喷淋塔（TA001）处理后，尾气由15m高排气简</w:t>
            </w:r>
            <w:r>
              <w:rPr>
                <w:rFonts w:hint="eastAsia" w:ascii="Times New Roman" w:hAnsi="Times New Roman" w:eastAsia="宋体" w:cs="Times New Roman"/>
                <w:color w:val="auto"/>
                <w:sz w:val="21"/>
                <w:szCs w:val="21"/>
                <w:lang w:val="en-US" w:eastAsia="zh-CN"/>
              </w:rPr>
              <w:t>（DA001）</w:t>
            </w:r>
            <w:r>
              <w:rPr>
                <w:rFonts w:hint="eastAsia" w:ascii="Times New Roman" w:hAnsi="Times New Roman" w:eastAsia="宋体" w:cs="Times New Roman"/>
                <w:color w:val="auto"/>
                <w:sz w:val="21"/>
                <w:szCs w:val="21"/>
                <w:lang w:eastAsia="zh-CN"/>
              </w:rPr>
              <w:t>高空排放</w:t>
            </w:r>
            <w:r>
              <w:rPr>
                <w:rFonts w:hint="eastAsia" w:ascii="Times New Roman" w:hAnsi="Times New Roman" w:eastAsia="宋体" w:cs="Times New Roman"/>
                <w:color w:val="auto"/>
                <w:sz w:val="21"/>
                <w:szCs w:val="21"/>
                <w:lang w:val="en-US" w:eastAsia="zh-CN"/>
              </w:rPr>
              <w:t>。</w:t>
            </w:r>
          </w:p>
          <w:p w14:paraId="69D3E53B">
            <w:pPr>
              <w:widowControl/>
              <w:adjustRightInd/>
              <w:snapToGrid/>
              <w:spacing w:after="0" w:line="240" w:lineRule="auto"/>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抛光粉尘：抛光粉尘通过设备自带的湿式除尘器（</w:t>
            </w:r>
            <w:r>
              <w:rPr>
                <w:rFonts w:hint="eastAsia" w:ascii="Times New Roman" w:hAnsi="Times New Roman" w:eastAsia="宋体" w:cs="Times New Roman"/>
                <w:color w:val="auto"/>
                <w:sz w:val="21"/>
                <w:szCs w:val="21"/>
                <w:lang w:val="en-US" w:eastAsia="zh-CN"/>
              </w:rPr>
              <w:t>TA002</w:t>
            </w:r>
            <w:r>
              <w:rPr>
                <w:rFonts w:hint="default" w:ascii="Times New Roman" w:hAnsi="Times New Roman" w:eastAsia="宋体" w:cs="Times New Roman"/>
                <w:color w:val="auto"/>
                <w:sz w:val="21"/>
                <w:szCs w:val="21"/>
                <w:lang w:val="en-US" w:eastAsia="zh-CN"/>
              </w:rPr>
              <w:t>）处理达标后，通过一根15m高排气筒</w:t>
            </w:r>
            <w:r>
              <w:rPr>
                <w:rFonts w:hint="eastAsia" w:ascii="Times New Roman" w:hAnsi="Times New Roman" w:eastAsia="宋体" w:cs="Times New Roman"/>
                <w:color w:val="auto"/>
                <w:sz w:val="21"/>
                <w:szCs w:val="21"/>
                <w:lang w:val="en-US" w:eastAsia="zh-CN"/>
              </w:rPr>
              <w:t>（DA002）</w:t>
            </w:r>
            <w:r>
              <w:rPr>
                <w:rFonts w:hint="default" w:ascii="Times New Roman" w:hAnsi="Times New Roman" w:eastAsia="宋体" w:cs="Times New Roman"/>
                <w:color w:val="auto"/>
                <w:sz w:val="21"/>
                <w:szCs w:val="21"/>
                <w:lang w:val="en-US" w:eastAsia="zh-CN"/>
              </w:rPr>
              <w:t>排放。</w:t>
            </w:r>
            <w:r>
              <w:rPr>
                <w:rFonts w:hint="eastAsia" w:ascii="Times New Roman" w:hAnsi="Times New Roman" w:eastAsia="宋体" w:cs="Times New Roman"/>
                <w:color w:val="auto"/>
                <w:sz w:val="21"/>
                <w:szCs w:val="21"/>
                <w:lang w:val="en-US" w:eastAsia="zh-CN"/>
              </w:rPr>
              <w:t>实际建设与环评一致。</w:t>
            </w:r>
          </w:p>
        </w:tc>
      </w:tr>
      <w:tr w14:paraId="38EFA11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52" w:type="pct"/>
            <w:vMerge w:val="continue"/>
            <w:tcBorders>
              <w:tl2br w:val="nil"/>
              <w:tr2bl w:val="nil"/>
            </w:tcBorders>
            <w:noWrap w:val="0"/>
            <w:vAlign w:val="center"/>
          </w:tcPr>
          <w:p w14:paraId="5F386603">
            <w:pPr>
              <w:widowControl/>
              <w:adjustRightInd/>
              <w:snapToGrid/>
              <w:spacing w:after="0" w:line="240" w:lineRule="auto"/>
              <w:jc w:val="center"/>
              <w:rPr>
                <w:rFonts w:ascii="Times New Roman" w:hAnsi="Times New Roman" w:eastAsia="宋体" w:cs="Times New Roman"/>
                <w:color w:val="auto"/>
                <w:sz w:val="21"/>
                <w:szCs w:val="21"/>
                <w:lang w:eastAsia="zh-CN"/>
              </w:rPr>
            </w:pPr>
          </w:p>
        </w:tc>
        <w:tc>
          <w:tcPr>
            <w:tcW w:w="650" w:type="pct"/>
            <w:tcBorders>
              <w:tl2br w:val="nil"/>
              <w:tr2bl w:val="nil"/>
            </w:tcBorders>
            <w:noWrap w:val="0"/>
            <w:vAlign w:val="center"/>
          </w:tcPr>
          <w:p w14:paraId="18E68CBC">
            <w:pPr>
              <w:widowControl/>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废水治理</w:t>
            </w:r>
          </w:p>
        </w:tc>
        <w:tc>
          <w:tcPr>
            <w:tcW w:w="3754" w:type="dxa"/>
            <w:tcBorders>
              <w:tl2br w:val="nil"/>
              <w:tr2bl w:val="nil"/>
            </w:tcBorders>
            <w:noWrap w:val="0"/>
            <w:vAlign w:val="center"/>
          </w:tcPr>
          <w:p w14:paraId="031AF77D">
            <w:pPr>
              <w:widowControl/>
              <w:adjustRightInd/>
              <w:snapToGrid/>
              <w:spacing w:after="0" w:line="240" w:lineRule="auto"/>
              <w:jc w:val="both"/>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本项目磷化线废水进入研磨废水段处理设施处理后，汇入厂区研磨废水生化处理系统，水质达标后纳管排放。</w:t>
            </w:r>
          </w:p>
          <w:p w14:paraId="0C4213A1">
            <w:pPr>
              <w:widowControl/>
              <w:adjustRightInd/>
              <w:snapToGrid/>
              <w:spacing w:after="0" w:line="240" w:lineRule="auto"/>
              <w:jc w:val="both"/>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本项目水幕废水进入含铬废水段处理设施处理后回用于生产，不外排。</w:t>
            </w:r>
          </w:p>
        </w:tc>
        <w:tc>
          <w:tcPr>
            <w:tcW w:w="3059" w:type="dxa"/>
            <w:tcBorders>
              <w:tl2br w:val="nil"/>
              <w:tr2bl w:val="nil"/>
            </w:tcBorders>
            <w:noWrap w:val="0"/>
            <w:vAlign w:val="center"/>
          </w:tcPr>
          <w:p w14:paraId="1CDB661C">
            <w:pPr>
              <w:widowControl/>
              <w:adjustRightInd/>
              <w:snapToGrid/>
              <w:spacing w:after="0" w:line="240" w:lineRule="auto"/>
              <w:jc w:val="both"/>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企业已完成雨污分流并完成废水纳管工作，且取得排水许可证</w:t>
            </w:r>
          </w:p>
        </w:tc>
      </w:tr>
      <w:tr w14:paraId="43931FF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52" w:type="pct"/>
            <w:vMerge w:val="continue"/>
            <w:tcBorders>
              <w:tl2br w:val="nil"/>
              <w:tr2bl w:val="nil"/>
            </w:tcBorders>
            <w:noWrap w:val="0"/>
            <w:vAlign w:val="center"/>
          </w:tcPr>
          <w:p w14:paraId="3D18EFD8">
            <w:pPr>
              <w:widowControl/>
              <w:adjustRightInd/>
              <w:snapToGrid/>
              <w:spacing w:after="0" w:line="240" w:lineRule="auto"/>
              <w:jc w:val="center"/>
              <w:rPr>
                <w:rFonts w:ascii="Times New Roman" w:hAnsi="Times New Roman" w:eastAsia="宋体" w:cs="Times New Roman"/>
                <w:color w:val="auto"/>
                <w:sz w:val="21"/>
                <w:szCs w:val="21"/>
                <w:lang w:eastAsia="zh-CN"/>
              </w:rPr>
            </w:pPr>
          </w:p>
        </w:tc>
        <w:tc>
          <w:tcPr>
            <w:tcW w:w="650" w:type="pct"/>
            <w:tcBorders>
              <w:tl2br w:val="nil"/>
              <w:tr2bl w:val="nil"/>
            </w:tcBorders>
            <w:noWrap w:val="0"/>
            <w:vAlign w:val="center"/>
          </w:tcPr>
          <w:p w14:paraId="660D87A9">
            <w:pPr>
              <w:widowControl/>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固废治理</w:t>
            </w:r>
          </w:p>
        </w:tc>
        <w:tc>
          <w:tcPr>
            <w:tcW w:w="3754" w:type="dxa"/>
            <w:tcBorders>
              <w:tl2br w:val="nil"/>
              <w:tr2bl w:val="nil"/>
            </w:tcBorders>
            <w:noWrap w:val="0"/>
            <w:vAlign w:val="center"/>
          </w:tcPr>
          <w:p w14:paraId="448DC291">
            <w:pPr>
              <w:widowControl/>
              <w:adjustRightInd/>
              <w:snapToGrid/>
              <w:spacing w:after="0" w:line="240" w:lineRule="auto"/>
              <w:jc w:val="both"/>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1、在厂区西南侧设有50m2危废仓库；</w:t>
            </w:r>
          </w:p>
          <w:p w14:paraId="2AE02FFA">
            <w:pPr>
              <w:widowControl/>
              <w:adjustRightInd/>
              <w:snapToGrid/>
              <w:spacing w:after="0" w:line="240" w:lineRule="auto"/>
              <w:jc w:val="both"/>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2、</w:t>
            </w:r>
            <w:r>
              <w:rPr>
                <w:rFonts w:hint="eastAsia" w:ascii="Times New Roman" w:hAnsi="Times New Roman" w:eastAsia="宋体" w:cs="Times New Roman"/>
                <w:color w:val="auto"/>
                <w:sz w:val="21"/>
                <w:szCs w:val="21"/>
                <w:lang w:val="en-US" w:eastAsia="zh-CN"/>
              </w:rPr>
              <w:t>槽渣</w:t>
            </w:r>
            <w:r>
              <w:rPr>
                <w:rFonts w:hint="eastAsia" w:ascii="Times New Roman" w:hAnsi="Times New Roman" w:eastAsia="宋体" w:cs="Times New Roman"/>
                <w:color w:val="auto"/>
                <w:sz w:val="21"/>
                <w:szCs w:val="21"/>
                <w:lang w:eastAsia="zh-CN"/>
              </w:rPr>
              <w:t>等危废分类收集分类暂存，定期委托有资质单位进行安全处置。</w:t>
            </w:r>
          </w:p>
          <w:p w14:paraId="0F025A16">
            <w:pPr>
              <w:widowControl/>
              <w:adjustRightInd/>
              <w:snapToGrid/>
              <w:spacing w:after="0" w:line="240" w:lineRule="auto"/>
              <w:jc w:val="both"/>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一般工业固废：</w:t>
            </w:r>
          </w:p>
          <w:p w14:paraId="5EB158AD">
            <w:pPr>
              <w:widowControl/>
              <w:adjustRightInd/>
              <w:snapToGrid/>
              <w:spacing w:after="0" w:line="240" w:lineRule="auto"/>
              <w:jc w:val="both"/>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1、在厂区西南侧设有100m2一般工业固废暂存间；</w:t>
            </w:r>
          </w:p>
          <w:p w14:paraId="7FDE4E54">
            <w:pPr>
              <w:widowControl/>
              <w:adjustRightInd/>
              <w:snapToGrid/>
              <w:spacing w:after="0" w:line="240" w:lineRule="auto"/>
              <w:jc w:val="both"/>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2、废包装袋等一般固废集中收集外卖进行综合利用。</w:t>
            </w:r>
          </w:p>
          <w:p w14:paraId="3BE701F7">
            <w:pPr>
              <w:widowControl/>
              <w:adjustRightInd/>
              <w:snapToGrid/>
              <w:spacing w:after="0" w:line="240" w:lineRule="auto"/>
              <w:jc w:val="both"/>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生活垃圾：委托环卫部门处理。</w:t>
            </w:r>
          </w:p>
        </w:tc>
        <w:tc>
          <w:tcPr>
            <w:tcW w:w="3059" w:type="dxa"/>
            <w:tcBorders>
              <w:tl2br w:val="nil"/>
              <w:tr2bl w:val="nil"/>
            </w:tcBorders>
            <w:noWrap w:val="0"/>
            <w:vAlign w:val="center"/>
          </w:tcPr>
          <w:p w14:paraId="13F5B62C">
            <w:pPr>
              <w:widowControl/>
              <w:adjustRightInd/>
              <w:snapToGrid/>
              <w:spacing w:after="0" w:line="240" w:lineRule="auto"/>
              <w:jc w:val="both"/>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一般固体废物委托物资单位接收处置；危险废物委托</w:t>
            </w:r>
            <w:r>
              <w:rPr>
                <w:rFonts w:hint="eastAsia" w:ascii="Times New Roman" w:hAnsi="Times New Roman" w:eastAsia="宋体" w:cs="Times New Roman"/>
                <w:color w:val="auto"/>
                <w:sz w:val="21"/>
                <w:szCs w:val="21"/>
                <w:lang w:val="en-US" w:eastAsia="zh-CN"/>
              </w:rPr>
              <w:t>温州市环境发展有限公司处置；</w:t>
            </w:r>
            <w:r>
              <w:rPr>
                <w:rFonts w:hint="eastAsia" w:ascii="Times New Roman" w:hAnsi="Times New Roman" w:eastAsia="宋体" w:cs="Times New Roman"/>
                <w:color w:val="auto"/>
                <w:sz w:val="21"/>
                <w:szCs w:val="21"/>
                <w:lang w:eastAsia="zh-CN"/>
              </w:rPr>
              <w:t>生活垃圾委托环卫部门处理。</w:t>
            </w:r>
          </w:p>
        </w:tc>
      </w:tr>
      <w:tr w14:paraId="0432A67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52" w:type="pct"/>
            <w:vMerge w:val="continue"/>
            <w:tcBorders>
              <w:tl2br w:val="nil"/>
              <w:tr2bl w:val="nil"/>
            </w:tcBorders>
            <w:noWrap w:val="0"/>
            <w:vAlign w:val="center"/>
          </w:tcPr>
          <w:p w14:paraId="6DCE33F6">
            <w:pPr>
              <w:widowControl/>
              <w:adjustRightInd/>
              <w:snapToGrid/>
              <w:spacing w:after="0" w:line="240" w:lineRule="auto"/>
              <w:jc w:val="center"/>
              <w:rPr>
                <w:rFonts w:ascii="Times New Roman" w:hAnsi="Times New Roman" w:eastAsia="宋体" w:cs="Times New Roman"/>
                <w:color w:val="auto"/>
                <w:sz w:val="21"/>
                <w:szCs w:val="21"/>
                <w:lang w:eastAsia="zh-CN"/>
              </w:rPr>
            </w:pPr>
          </w:p>
        </w:tc>
        <w:tc>
          <w:tcPr>
            <w:tcW w:w="650" w:type="pct"/>
            <w:tcBorders>
              <w:tl2br w:val="nil"/>
              <w:tr2bl w:val="nil"/>
            </w:tcBorders>
            <w:noWrap w:val="0"/>
            <w:vAlign w:val="center"/>
          </w:tcPr>
          <w:p w14:paraId="1A87288C">
            <w:pPr>
              <w:widowControl/>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噪声治理</w:t>
            </w:r>
          </w:p>
        </w:tc>
        <w:tc>
          <w:tcPr>
            <w:tcW w:w="2257" w:type="pct"/>
            <w:tcBorders>
              <w:tl2br w:val="nil"/>
              <w:tr2bl w:val="nil"/>
            </w:tcBorders>
            <w:noWrap w:val="0"/>
            <w:vAlign w:val="center"/>
          </w:tcPr>
          <w:p w14:paraId="17E8FA87">
            <w:pPr>
              <w:widowControl/>
              <w:adjustRightInd/>
              <w:snapToGrid/>
              <w:spacing w:after="0" w:line="240" w:lineRule="auto"/>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合理布局、减震垫、隔声窗等降噪措施</w:t>
            </w:r>
          </w:p>
        </w:tc>
        <w:tc>
          <w:tcPr>
            <w:tcW w:w="1839" w:type="pct"/>
            <w:tcBorders>
              <w:tl2br w:val="nil"/>
              <w:tr2bl w:val="nil"/>
            </w:tcBorders>
            <w:noWrap w:val="0"/>
            <w:vAlign w:val="center"/>
          </w:tcPr>
          <w:p w14:paraId="561CAD09">
            <w:pPr>
              <w:widowControl/>
              <w:adjustRightInd/>
              <w:snapToGrid/>
              <w:spacing w:after="0" w:line="240" w:lineRule="auto"/>
              <w:jc w:val="both"/>
              <w:rPr>
                <w:rFonts w:hint="default" w:ascii="Times New Roman" w:hAnsi="Times New Roman" w:eastAsia="宋体" w:cs="Times New Roman"/>
                <w:color w:val="auto"/>
                <w:sz w:val="21"/>
                <w:szCs w:val="21"/>
                <w:lang w:eastAsia="zh-CN"/>
              </w:rPr>
            </w:pPr>
            <w:r>
              <w:rPr>
                <w:rFonts w:hint="eastAsia" w:ascii="Times New Roman" w:hAnsi="Times New Roman" w:eastAsia="宋体"/>
                <w:color w:val="auto"/>
                <w:sz w:val="21"/>
                <w:szCs w:val="21"/>
              </w:rPr>
              <w:t>与环评一致</w:t>
            </w:r>
          </w:p>
        </w:tc>
      </w:tr>
    </w:tbl>
    <w:p w14:paraId="1B21C311">
      <w:pPr>
        <w:adjustRightInd w:val="0"/>
        <w:snapToGrid w:val="0"/>
        <w:spacing w:before="156" w:beforeLines="50" w:line="400" w:lineRule="exact"/>
        <w:jc w:val="center"/>
        <w:rPr>
          <w:rFonts w:hint="eastAsia" w:ascii="华文新魏" w:eastAsia="华文新魏"/>
          <w:color w:val="000000"/>
        </w:rPr>
      </w:pPr>
    </w:p>
    <w:p w14:paraId="256B1F33">
      <w:pPr>
        <w:numPr>
          <w:ilvl w:val="0"/>
          <w:numId w:val="1"/>
        </w:numPr>
        <w:adjustRightInd w:val="0"/>
        <w:snapToGrid w:val="0"/>
        <w:spacing w:before="156" w:beforeLines="50" w:line="400" w:lineRule="exact"/>
        <w:ind w:left="0" w:firstLine="0"/>
        <w:rPr>
          <w:rFonts w:hint="eastAsia" w:ascii="华文新魏" w:eastAsia="华文新魏"/>
          <w:b/>
          <w:color w:val="000000"/>
          <w:sz w:val="28"/>
          <w:szCs w:val="28"/>
        </w:rPr>
      </w:pPr>
      <w:r>
        <w:rPr>
          <w:rFonts w:hint="eastAsia" w:ascii="华文新魏" w:eastAsia="华文新魏"/>
          <w:b/>
          <w:color w:val="000000"/>
          <w:sz w:val="28"/>
          <w:szCs w:val="28"/>
        </w:rPr>
        <w:t xml:space="preserve">公众提供有关本项目环保竣工方面的建议或意见的方式和期限 </w:t>
      </w:r>
    </w:p>
    <w:p w14:paraId="3172CA94">
      <w:pPr>
        <w:adjustRightInd w:val="0"/>
        <w:snapToGrid w:val="0"/>
        <w:spacing w:line="400" w:lineRule="exact"/>
        <w:ind w:firstLine="480" w:firstLineChars="200"/>
        <w:rPr>
          <w:rFonts w:hint="eastAsia" w:ascii="华文新魏" w:eastAsia="华文新魏"/>
          <w:color w:val="000000"/>
        </w:rPr>
      </w:pPr>
      <w:r>
        <w:rPr>
          <w:rFonts w:hint="eastAsia" w:ascii="华文新魏" w:eastAsia="华文新魏"/>
          <w:color w:val="000000"/>
        </w:rPr>
        <w:t>自公告之日起</w:t>
      </w:r>
      <w:r>
        <w:rPr>
          <w:rFonts w:hint="eastAsia" w:ascii="华文新魏" w:eastAsia="华文新魏"/>
          <w:color w:val="000000"/>
          <w:lang w:val="en-US" w:eastAsia="zh-CN"/>
        </w:rPr>
        <w:t>二十</w:t>
      </w:r>
      <w:r>
        <w:rPr>
          <w:rFonts w:hint="eastAsia" w:ascii="华文新魏" w:eastAsia="华文新魏"/>
          <w:color w:val="000000"/>
        </w:rPr>
        <w:t>个工作日内，征求相关公众针对企业</w:t>
      </w:r>
      <w:r>
        <w:rPr>
          <w:rFonts w:ascii="华文新魏" w:eastAsia="华文新魏"/>
          <w:color w:val="000000"/>
        </w:rPr>
        <w:t>主体工程调试工况</w:t>
      </w:r>
      <w:r>
        <w:rPr>
          <w:rFonts w:hint="eastAsia" w:ascii="华文新魏" w:eastAsia="华文新魏"/>
          <w:color w:val="000000"/>
        </w:rPr>
        <w:t>是否</w:t>
      </w:r>
      <w:r>
        <w:rPr>
          <w:rFonts w:ascii="华文新魏" w:eastAsia="华文新魏"/>
          <w:color w:val="000000"/>
        </w:rPr>
        <w:t>稳定、环境保护设施运行</w:t>
      </w:r>
      <w:r>
        <w:rPr>
          <w:rFonts w:hint="eastAsia" w:ascii="华文新魏" w:eastAsia="华文新魏"/>
          <w:color w:val="000000"/>
        </w:rPr>
        <w:t>是否</w:t>
      </w:r>
      <w:r>
        <w:rPr>
          <w:rFonts w:ascii="华文新魏" w:eastAsia="华文新魏"/>
          <w:color w:val="000000"/>
        </w:rPr>
        <w:t>正常</w:t>
      </w:r>
      <w:r>
        <w:rPr>
          <w:rFonts w:hint="eastAsia" w:ascii="华文新魏" w:eastAsia="华文新魏"/>
          <w:color w:val="000000"/>
        </w:rPr>
        <w:t>进行监督，或提出建议或意见。</w:t>
      </w:r>
    </w:p>
    <w:p w14:paraId="339572AE">
      <w:pPr>
        <w:numPr>
          <w:ilvl w:val="0"/>
          <w:numId w:val="1"/>
        </w:numPr>
        <w:adjustRightInd w:val="0"/>
        <w:snapToGrid w:val="0"/>
        <w:spacing w:before="156" w:beforeLines="50" w:line="400" w:lineRule="exact"/>
        <w:ind w:left="0" w:firstLine="0"/>
        <w:rPr>
          <w:rFonts w:hint="eastAsia" w:ascii="华文新魏" w:eastAsia="华文新魏"/>
          <w:b/>
          <w:color w:val="000000"/>
          <w:sz w:val="28"/>
          <w:szCs w:val="28"/>
        </w:rPr>
      </w:pPr>
      <w:r>
        <w:rPr>
          <w:rFonts w:hint="eastAsia" w:ascii="华文新魏" w:eastAsia="华文新魏"/>
          <w:b/>
          <w:color w:val="000000"/>
          <w:sz w:val="28"/>
          <w:szCs w:val="28"/>
        </w:rPr>
        <w:t>公告监督范围和主要事项</w:t>
      </w:r>
    </w:p>
    <w:p w14:paraId="03383197">
      <w:pPr>
        <w:adjustRightInd w:val="0"/>
        <w:snapToGrid w:val="0"/>
        <w:spacing w:line="400" w:lineRule="exact"/>
        <w:ind w:firstLine="480" w:firstLineChars="200"/>
        <w:rPr>
          <w:rFonts w:hint="eastAsia" w:ascii="华文新魏" w:eastAsia="华文新魏"/>
          <w:color w:val="000000"/>
        </w:rPr>
      </w:pPr>
      <w:r>
        <w:rPr>
          <w:rFonts w:hint="eastAsia" w:ascii="华文新魏" w:eastAsia="华文新魏"/>
          <w:color w:val="000000"/>
        </w:rPr>
        <w:t>1、公告范围：广大企事业单位或个人。</w:t>
      </w:r>
    </w:p>
    <w:p w14:paraId="2506B383">
      <w:pPr>
        <w:adjustRightInd w:val="0"/>
        <w:snapToGrid w:val="0"/>
        <w:spacing w:line="400" w:lineRule="exact"/>
        <w:ind w:firstLine="480" w:firstLineChars="200"/>
        <w:rPr>
          <w:rFonts w:hint="eastAsia" w:ascii="华文新魏" w:eastAsia="华文新魏"/>
          <w:color w:val="000000"/>
        </w:rPr>
      </w:pPr>
      <w:r>
        <w:rPr>
          <w:rFonts w:hint="eastAsia" w:ascii="华文新魏" w:eastAsia="华文新魏"/>
          <w:color w:val="000000"/>
        </w:rPr>
        <w:t>2、主要事项：监督与本项目</w:t>
      </w:r>
      <w:r>
        <w:rPr>
          <w:rFonts w:ascii="华文新魏" w:eastAsia="华文新魏"/>
          <w:color w:val="000000"/>
        </w:rPr>
        <w:t>配套建设的环境保护设施</w:t>
      </w:r>
      <w:r>
        <w:rPr>
          <w:rFonts w:hint="eastAsia" w:ascii="华文新魏" w:eastAsia="华文新魏"/>
          <w:color w:val="000000"/>
        </w:rPr>
        <w:t>是否</w:t>
      </w:r>
      <w:r>
        <w:rPr>
          <w:rFonts w:ascii="华文新魏" w:eastAsia="华文新魏"/>
          <w:color w:val="000000"/>
        </w:rPr>
        <w:t>正常</w:t>
      </w:r>
      <w:r>
        <w:rPr>
          <w:rFonts w:hint="eastAsia" w:ascii="华文新魏" w:eastAsia="华文新魏"/>
          <w:color w:val="000000"/>
        </w:rPr>
        <w:t>运行。</w:t>
      </w:r>
    </w:p>
    <w:p w14:paraId="1A756B17">
      <w:pPr>
        <w:numPr>
          <w:ilvl w:val="0"/>
          <w:numId w:val="1"/>
        </w:numPr>
        <w:adjustRightInd w:val="0"/>
        <w:snapToGrid w:val="0"/>
        <w:spacing w:before="156" w:beforeLines="50" w:line="400" w:lineRule="exact"/>
        <w:ind w:left="0" w:firstLine="0"/>
        <w:rPr>
          <w:rFonts w:hint="eastAsia" w:ascii="华文新魏" w:eastAsia="华文新魏"/>
          <w:b/>
          <w:color w:val="000000"/>
          <w:sz w:val="28"/>
          <w:szCs w:val="28"/>
        </w:rPr>
      </w:pPr>
      <w:r>
        <w:rPr>
          <w:rFonts w:hint="eastAsia" w:ascii="华文新魏" w:eastAsia="华文新魏"/>
          <w:b/>
          <w:color w:val="000000"/>
          <w:sz w:val="28"/>
          <w:szCs w:val="28"/>
        </w:rPr>
        <w:t>公告监督的具体形式</w:t>
      </w:r>
    </w:p>
    <w:p w14:paraId="1A777716">
      <w:pPr>
        <w:adjustRightInd w:val="0"/>
        <w:snapToGrid w:val="0"/>
        <w:spacing w:line="400" w:lineRule="exact"/>
        <w:ind w:firstLine="480" w:firstLineChars="200"/>
        <w:rPr>
          <w:rFonts w:hint="eastAsia" w:ascii="华文新魏" w:eastAsia="华文新魏"/>
          <w:color w:val="000000"/>
          <w:spacing w:val="0"/>
          <w:kern w:val="21"/>
          <w:sz w:val="24"/>
        </w:rPr>
      </w:pPr>
      <w:r>
        <w:rPr>
          <w:rFonts w:hint="eastAsia" w:ascii="华文新魏" w:eastAsia="华文新魏"/>
          <w:color w:val="000000"/>
          <w:spacing w:val="0"/>
          <w:kern w:val="21"/>
          <w:sz w:val="24"/>
        </w:rPr>
        <w:t>公众对本项目</w:t>
      </w:r>
      <w:r>
        <w:rPr>
          <w:rFonts w:ascii="华文新魏" w:eastAsia="华文新魏"/>
          <w:color w:val="000000"/>
          <w:spacing w:val="0"/>
          <w:kern w:val="21"/>
          <w:sz w:val="24"/>
        </w:rPr>
        <w:t>主体工程调试工况</w:t>
      </w:r>
      <w:r>
        <w:rPr>
          <w:rFonts w:hint="eastAsia" w:ascii="华文新魏" w:eastAsia="华文新魏"/>
          <w:color w:val="000000"/>
          <w:spacing w:val="0"/>
          <w:kern w:val="21"/>
          <w:sz w:val="24"/>
        </w:rPr>
        <w:t>是否</w:t>
      </w:r>
      <w:r>
        <w:rPr>
          <w:rFonts w:ascii="华文新魏" w:eastAsia="华文新魏"/>
          <w:color w:val="000000"/>
          <w:spacing w:val="0"/>
          <w:kern w:val="21"/>
          <w:sz w:val="24"/>
        </w:rPr>
        <w:t>稳定、环境保护设施运行</w:t>
      </w:r>
      <w:r>
        <w:rPr>
          <w:rFonts w:hint="eastAsia" w:ascii="华文新魏" w:eastAsia="华文新魏"/>
          <w:color w:val="000000"/>
          <w:spacing w:val="0"/>
          <w:kern w:val="21"/>
          <w:sz w:val="24"/>
        </w:rPr>
        <w:t>是否</w:t>
      </w:r>
      <w:r>
        <w:rPr>
          <w:rFonts w:ascii="华文新魏" w:eastAsia="华文新魏"/>
          <w:color w:val="000000"/>
          <w:spacing w:val="0"/>
          <w:kern w:val="21"/>
          <w:sz w:val="24"/>
        </w:rPr>
        <w:t>正常</w:t>
      </w:r>
      <w:r>
        <w:rPr>
          <w:rFonts w:hint="eastAsia" w:ascii="华文新魏" w:eastAsia="华文新魏"/>
          <w:color w:val="000000"/>
          <w:spacing w:val="0"/>
          <w:kern w:val="21"/>
          <w:sz w:val="24"/>
        </w:rPr>
        <w:t>有建议或意见的，应当自公告之日起</w:t>
      </w:r>
      <w:r>
        <w:rPr>
          <w:rFonts w:hint="eastAsia" w:ascii="华文新魏" w:eastAsia="华文新魏"/>
          <w:color w:val="000000"/>
          <w:spacing w:val="0"/>
          <w:kern w:val="21"/>
          <w:sz w:val="24"/>
          <w:lang w:val="en-US" w:eastAsia="zh-CN"/>
        </w:rPr>
        <w:t>二十</w:t>
      </w:r>
      <w:r>
        <w:rPr>
          <w:rFonts w:hint="eastAsia" w:ascii="华文新魏" w:eastAsia="华文新魏"/>
          <w:color w:val="000000"/>
          <w:spacing w:val="0"/>
          <w:kern w:val="21"/>
          <w:sz w:val="24"/>
        </w:rPr>
        <w:t>个工作日内，可向建设单位提出，也可将书面意见另外抄送负责该建设项目监管的环境保护行政主管部门。</w:t>
      </w:r>
    </w:p>
    <w:p w14:paraId="256BB7CC">
      <w:pPr>
        <w:adjustRightInd w:val="0"/>
        <w:snapToGrid w:val="0"/>
        <w:spacing w:line="400" w:lineRule="exact"/>
        <w:ind w:firstLine="480" w:firstLineChars="200"/>
        <w:rPr>
          <w:rFonts w:hint="eastAsia" w:ascii="华文新魏" w:eastAsia="华文新魏"/>
          <w:color w:val="000000"/>
          <w:spacing w:val="0"/>
          <w:kern w:val="21"/>
          <w:sz w:val="24"/>
          <w:lang w:eastAsia="zh-CN"/>
        </w:rPr>
      </w:pPr>
      <w:r>
        <w:rPr>
          <w:rFonts w:hint="eastAsia" w:ascii="华文新魏" w:eastAsia="华文新魏"/>
          <w:color w:val="000000"/>
          <w:spacing w:val="0"/>
          <w:kern w:val="21"/>
          <w:sz w:val="24"/>
        </w:rPr>
        <w:t>环保主管部门：宁波市环境保护局</w:t>
      </w:r>
      <w:r>
        <w:rPr>
          <w:rFonts w:hint="eastAsia" w:ascii="华文新魏" w:eastAsia="华文新魏"/>
          <w:color w:val="000000"/>
          <w:spacing w:val="0"/>
          <w:kern w:val="21"/>
          <w:sz w:val="24"/>
          <w:lang w:val="en-US" w:eastAsia="zh-CN"/>
        </w:rPr>
        <w:t>海曙</w:t>
      </w:r>
      <w:r>
        <w:rPr>
          <w:rFonts w:hint="eastAsia" w:ascii="华文新魏" w:eastAsia="华文新魏"/>
          <w:color w:val="000000"/>
          <w:spacing w:val="0"/>
          <w:kern w:val="21"/>
          <w:sz w:val="24"/>
          <w:lang w:eastAsia="zh-CN"/>
        </w:rPr>
        <w:t>分局</w:t>
      </w:r>
    </w:p>
    <w:p w14:paraId="79C10473">
      <w:pPr>
        <w:adjustRightInd w:val="0"/>
        <w:snapToGrid w:val="0"/>
        <w:spacing w:line="400" w:lineRule="exact"/>
        <w:ind w:firstLine="480" w:firstLineChars="200"/>
        <w:rPr>
          <w:rFonts w:hint="eastAsia" w:ascii="华文新魏" w:eastAsia="华文新魏"/>
          <w:color w:val="000000"/>
          <w:spacing w:val="0"/>
          <w:kern w:val="21"/>
          <w:sz w:val="24"/>
        </w:rPr>
      </w:pPr>
      <w:r>
        <w:rPr>
          <w:rFonts w:hint="eastAsia" w:ascii="华文新魏" w:eastAsia="华文新魏"/>
          <w:color w:val="000000"/>
          <w:spacing w:val="0"/>
          <w:kern w:val="21"/>
          <w:sz w:val="24"/>
        </w:rPr>
        <w:t>联系电话：12345</w:t>
      </w:r>
    </w:p>
    <w:p w14:paraId="0D28C554">
      <w:pPr>
        <w:adjustRightInd w:val="0"/>
        <w:snapToGrid w:val="0"/>
        <w:spacing w:line="400" w:lineRule="exact"/>
        <w:ind w:firstLine="480" w:firstLineChars="200"/>
        <w:rPr>
          <w:rFonts w:hint="eastAsia" w:ascii="华文新魏" w:hAnsi="Times New Roman" w:eastAsia="华文新魏"/>
          <w:color w:val="000000"/>
          <w:spacing w:val="0"/>
          <w:kern w:val="21"/>
          <w:sz w:val="24"/>
        </w:rPr>
      </w:pPr>
      <w:r>
        <w:rPr>
          <w:rFonts w:hint="eastAsia" w:ascii="华文新魏" w:eastAsia="华文新魏"/>
          <w:color w:val="000000"/>
          <w:spacing w:val="0"/>
          <w:kern w:val="21"/>
          <w:sz w:val="24"/>
        </w:rPr>
        <w:t>建设单位</w:t>
      </w:r>
      <w:r>
        <w:rPr>
          <w:rFonts w:hint="eastAsia" w:ascii="华文新魏" w:hAnsi="Times New Roman" w:eastAsia="华文新魏"/>
          <w:color w:val="000000"/>
          <w:spacing w:val="0"/>
          <w:kern w:val="21"/>
          <w:sz w:val="24"/>
        </w:rPr>
        <w:t>：</w:t>
      </w:r>
      <w:r>
        <w:rPr>
          <w:rFonts w:hint="eastAsia" w:ascii="华文新魏" w:eastAsia="华文新魏"/>
          <w:color w:val="000000"/>
          <w:spacing w:val="0"/>
          <w:kern w:val="21"/>
          <w:sz w:val="24"/>
          <w:lang w:val="en-US" w:eastAsia="zh-CN"/>
        </w:rPr>
        <w:t>宁波培源股份有限公司</w:t>
      </w:r>
    </w:p>
    <w:p w14:paraId="565C9BD2">
      <w:pPr>
        <w:adjustRightInd w:val="0"/>
        <w:snapToGrid w:val="0"/>
        <w:spacing w:line="400" w:lineRule="exact"/>
        <w:ind w:firstLine="480" w:firstLineChars="200"/>
        <w:rPr>
          <w:rFonts w:hint="default" w:ascii="华文新魏" w:hAnsi="Times New Roman" w:eastAsia="华文新魏"/>
          <w:color w:val="000000"/>
          <w:spacing w:val="0"/>
          <w:kern w:val="21"/>
          <w:sz w:val="24"/>
          <w:lang w:val="en-US"/>
        </w:rPr>
      </w:pPr>
      <w:r>
        <w:rPr>
          <w:rFonts w:hint="eastAsia" w:ascii="华文新魏" w:hAnsi="Times New Roman" w:eastAsia="华文新魏"/>
          <w:color w:val="000000"/>
          <w:spacing w:val="0"/>
          <w:kern w:val="21"/>
          <w:sz w:val="24"/>
        </w:rPr>
        <w:t>联系电话：</w:t>
      </w:r>
      <w:r>
        <w:rPr>
          <w:rFonts w:hint="eastAsia" w:ascii="华文新魏" w:eastAsia="华文新魏"/>
          <w:color w:val="000000"/>
          <w:spacing w:val="0"/>
          <w:kern w:val="21"/>
          <w:sz w:val="24"/>
          <w:lang w:val="en-US" w:eastAsia="zh-CN"/>
        </w:rPr>
        <w:t>15728011519</w:t>
      </w:r>
    </w:p>
    <w:p w14:paraId="57CE09E7">
      <w:pPr>
        <w:numPr>
          <w:ilvl w:val="0"/>
          <w:numId w:val="1"/>
        </w:numPr>
        <w:adjustRightInd w:val="0"/>
        <w:snapToGrid w:val="0"/>
        <w:spacing w:before="156" w:beforeLines="50" w:line="400" w:lineRule="exact"/>
        <w:ind w:left="0" w:firstLine="0"/>
        <w:rPr>
          <w:rFonts w:hint="eastAsia" w:ascii="华文新魏" w:eastAsia="华文新魏"/>
          <w:b/>
          <w:color w:val="000000"/>
          <w:sz w:val="28"/>
          <w:szCs w:val="28"/>
        </w:rPr>
      </w:pPr>
      <w:r>
        <w:rPr>
          <w:rFonts w:hint="eastAsia" w:ascii="华文新魏" w:eastAsia="华文新魏"/>
          <w:b/>
          <w:color w:val="000000"/>
          <w:sz w:val="28"/>
          <w:szCs w:val="28"/>
        </w:rPr>
        <w:t>公众提出意见的起止时间</w:t>
      </w:r>
    </w:p>
    <w:p w14:paraId="36E88B75">
      <w:pPr>
        <w:adjustRightInd w:val="0"/>
        <w:snapToGrid w:val="0"/>
        <w:spacing w:line="400" w:lineRule="exact"/>
        <w:ind w:firstLine="480" w:firstLineChars="200"/>
        <w:rPr>
          <w:rFonts w:hint="eastAsia" w:ascii="华文新魏" w:eastAsia="华文新魏"/>
          <w:color w:val="000000"/>
        </w:rPr>
      </w:pPr>
      <w:r>
        <w:rPr>
          <w:rFonts w:hint="eastAsia" w:ascii="华文新魏" w:eastAsia="华文新魏"/>
          <w:color w:val="000000"/>
        </w:rPr>
        <w:t>本次公告时间：20</w:t>
      </w:r>
      <w:r>
        <w:rPr>
          <w:rFonts w:hint="eastAsia" w:ascii="华文新魏" w:eastAsia="华文新魏"/>
          <w:color w:val="000000"/>
          <w:lang w:val="en-US" w:eastAsia="zh-CN"/>
        </w:rPr>
        <w:t>24</w:t>
      </w:r>
      <w:r>
        <w:rPr>
          <w:rFonts w:hint="eastAsia" w:ascii="华文新魏" w:eastAsia="华文新魏"/>
          <w:color w:val="000000"/>
        </w:rPr>
        <w:t>年</w:t>
      </w:r>
      <w:r>
        <w:rPr>
          <w:rFonts w:hint="eastAsia" w:ascii="华文新魏" w:eastAsia="华文新魏"/>
          <w:color w:val="000000"/>
          <w:lang w:val="en-US" w:eastAsia="zh-CN"/>
        </w:rPr>
        <w:t>12</w:t>
      </w:r>
      <w:r>
        <w:rPr>
          <w:rFonts w:hint="eastAsia" w:ascii="华文新魏" w:eastAsia="华文新魏"/>
          <w:color w:val="000000"/>
        </w:rPr>
        <w:t>月</w:t>
      </w:r>
      <w:r>
        <w:rPr>
          <w:rFonts w:hint="eastAsia" w:ascii="华文新魏" w:eastAsia="华文新魏"/>
          <w:color w:val="000000"/>
          <w:lang w:val="en-US" w:eastAsia="zh-CN"/>
        </w:rPr>
        <w:t>11</w:t>
      </w:r>
      <w:r>
        <w:rPr>
          <w:rFonts w:hint="eastAsia" w:ascii="华文新魏" w:eastAsia="华文新魏"/>
          <w:color w:val="000000"/>
        </w:rPr>
        <w:t>日～20</w:t>
      </w:r>
      <w:r>
        <w:rPr>
          <w:rFonts w:hint="eastAsia" w:ascii="华文新魏" w:eastAsia="华文新魏"/>
          <w:color w:val="000000"/>
          <w:lang w:val="en-US" w:eastAsia="zh-CN"/>
        </w:rPr>
        <w:t>25</w:t>
      </w:r>
      <w:r>
        <w:rPr>
          <w:rFonts w:hint="eastAsia" w:ascii="华文新魏" w:eastAsia="华文新魏"/>
          <w:color w:val="000000"/>
        </w:rPr>
        <w:t>年</w:t>
      </w:r>
      <w:r>
        <w:rPr>
          <w:rFonts w:hint="eastAsia" w:ascii="华文新魏" w:eastAsia="华文新魏"/>
          <w:color w:val="000000"/>
          <w:lang w:val="en-US" w:eastAsia="zh-CN"/>
        </w:rPr>
        <w:t>1</w:t>
      </w:r>
      <w:r>
        <w:rPr>
          <w:rFonts w:hint="eastAsia" w:ascii="华文新魏" w:eastAsia="华文新魏"/>
          <w:color w:val="000000"/>
        </w:rPr>
        <w:t>月</w:t>
      </w:r>
      <w:r>
        <w:rPr>
          <w:rFonts w:hint="eastAsia" w:ascii="华文新魏" w:eastAsia="华文新魏"/>
          <w:color w:val="000000"/>
          <w:lang w:val="en-US" w:eastAsia="zh-CN"/>
        </w:rPr>
        <w:t>9</w:t>
      </w:r>
      <w:r>
        <w:rPr>
          <w:rFonts w:hint="eastAsia" w:ascii="华文新魏" w:eastAsia="华文新魏"/>
          <w:color w:val="000000"/>
        </w:rPr>
        <w:t>日。</w:t>
      </w:r>
    </w:p>
    <w:p w14:paraId="23D3BDFB">
      <w:pPr>
        <w:tabs>
          <w:tab w:val="left" w:pos="4785"/>
        </w:tabs>
        <w:adjustRightInd w:val="0"/>
        <w:spacing w:line="400" w:lineRule="exact"/>
        <w:ind w:firstLine="480" w:firstLineChars="200"/>
        <w:rPr>
          <w:rFonts w:hint="eastAsia" w:ascii="华文新魏" w:eastAsia="华文新魏"/>
          <w:color w:val="000000"/>
        </w:rPr>
      </w:pPr>
      <w:r>
        <w:rPr>
          <w:rFonts w:hint="eastAsia" w:ascii="华文新魏" w:eastAsia="华文新魏"/>
          <w:color w:val="000000"/>
        </w:rPr>
        <w:tab/>
      </w:r>
    </w:p>
    <w:p w14:paraId="0795D85A">
      <w:pPr>
        <w:tabs>
          <w:tab w:val="left" w:pos="4785"/>
        </w:tabs>
        <w:adjustRightInd w:val="0"/>
        <w:snapToGrid w:val="0"/>
        <w:spacing w:line="400" w:lineRule="exact"/>
        <w:ind w:firstLine="3840" w:firstLineChars="1600"/>
        <w:jc w:val="right"/>
        <w:rPr>
          <w:rFonts w:hint="eastAsia" w:ascii="华文新魏" w:eastAsia="华文新魏"/>
          <w:color w:val="000000"/>
        </w:rPr>
      </w:pPr>
      <w:r>
        <w:rPr>
          <w:rFonts w:hint="eastAsia" w:ascii="华文新魏" w:eastAsia="华文新魏"/>
          <w:color w:val="000000"/>
        </w:rPr>
        <w:t xml:space="preserve">    发布单位：</w:t>
      </w:r>
      <w:r>
        <w:rPr>
          <w:rFonts w:hint="eastAsia" w:ascii="华文新魏" w:eastAsia="华文新魏"/>
          <w:color w:val="000000"/>
          <w:lang w:val="en-US" w:eastAsia="zh-CN"/>
        </w:rPr>
        <w:t>宁波培源股份有限公司</w:t>
      </w:r>
    </w:p>
    <w:p w14:paraId="33B9899C">
      <w:pPr>
        <w:adjustRightInd w:val="0"/>
        <w:snapToGrid w:val="0"/>
        <w:spacing w:line="400" w:lineRule="exact"/>
        <w:ind w:firstLine="4920" w:firstLineChars="2050"/>
        <w:jc w:val="right"/>
        <w:rPr>
          <w:rFonts w:hint="eastAsia" w:ascii="华文新魏" w:eastAsia="华文新魏"/>
          <w:color w:val="000000"/>
        </w:rPr>
      </w:pPr>
      <w:r>
        <w:rPr>
          <w:rFonts w:hint="eastAsia" w:ascii="华文新魏" w:eastAsia="华文新魏"/>
          <w:color w:val="000000"/>
        </w:rPr>
        <w:t xml:space="preserve">  发布时间：20</w:t>
      </w:r>
      <w:r>
        <w:rPr>
          <w:rFonts w:hint="eastAsia" w:ascii="华文新魏" w:eastAsia="华文新魏"/>
          <w:color w:val="000000"/>
          <w:lang w:val="en-US" w:eastAsia="zh-CN"/>
        </w:rPr>
        <w:t>24</w:t>
      </w:r>
      <w:r>
        <w:rPr>
          <w:rFonts w:hint="eastAsia" w:ascii="华文新魏" w:eastAsia="华文新魏"/>
          <w:color w:val="000000"/>
        </w:rPr>
        <w:t>年</w:t>
      </w:r>
      <w:r>
        <w:rPr>
          <w:rFonts w:hint="eastAsia" w:ascii="华文新魏" w:eastAsia="华文新魏"/>
          <w:color w:val="000000"/>
          <w:lang w:val="en-US" w:eastAsia="zh-CN"/>
        </w:rPr>
        <w:t>12</w:t>
      </w:r>
      <w:r>
        <w:rPr>
          <w:rFonts w:hint="eastAsia" w:ascii="华文新魏" w:eastAsia="华文新魏"/>
          <w:color w:val="000000"/>
        </w:rPr>
        <w:t>月</w:t>
      </w:r>
      <w:r>
        <w:rPr>
          <w:rFonts w:hint="eastAsia" w:ascii="华文新魏" w:eastAsia="华文新魏"/>
          <w:color w:val="000000"/>
          <w:lang w:val="en-US" w:eastAsia="zh-CN"/>
        </w:rPr>
        <w:t>11</w:t>
      </w:r>
      <w:r>
        <w:rPr>
          <w:rFonts w:hint="eastAsia" w:ascii="华文新魏" w:eastAsia="华文新魏"/>
          <w:color w:val="000000"/>
        </w:rPr>
        <w:t>日</w:t>
      </w:r>
      <w:bookmarkStart w:id="0" w:name="_GoBack"/>
      <w:bookmarkEnd w:id="0"/>
    </w:p>
    <w:p w14:paraId="2EE873F5">
      <w:pPr>
        <w:rPr>
          <w:rFonts w:hint="eastAsia" w:ascii="华文新魏" w:eastAsia="华文新魏"/>
          <w:color w:val="FF0000"/>
          <w:sz w:val="36"/>
          <w:szCs w:val="36"/>
        </w:rPr>
      </w:pPr>
    </w:p>
    <w:p w14:paraId="6E30FD3A"/>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160E55"/>
    <w:multiLevelType w:val="multilevel"/>
    <w:tmpl w:val="63160E55"/>
    <w:lvl w:ilvl="0" w:tentative="0">
      <w:start w:val="1"/>
      <w:numFmt w:val="japaneseCounting"/>
      <w:lvlText w:val="%1、"/>
      <w:lvlJc w:val="left"/>
      <w:pPr>
        <w:tabs>
          <w:tab w:val="left" w:pos="810"/>
        </w:tabs>
        <w:ind w:left="810" w:hanging="81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ODQ0MTc4NzBhNjAwZjRjMDExNWMxNTJiODEyMTMifQ=="/>
  </w:docVars>
  <w:rsids>
    <w:rsidRoot w:val="00000000"/>
    <w:rsid w:val="0E05395F"/>
    <w:rsid w:val="28A85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Default"/>
    <w:basedOn w:val="5"/>
    <w:autoRedefine/>
    <w:qFormat/>
    <w:uiPriority w:val="0"/>
    <w:pPr>
      <w:widowControl w:val="0"/>
      <w:autoSpaceDE w:val="0"/>
      <w:autoSpaceDN w:val="0"/>
      <w:adjustRightInd w:val="0"/>
    </w:pPr>
    <w:rPr>
      <w:color w:val="000000"/>
      <w:sz w:val="24"/>
      <w:szCs w:val="24"/>
      <w:lang w:val="en-US" w:eastAsia="zh-CN" w:bidi="ar-SA"/>
    </w:rPr>
  </w:style>
  <w:style w:type="paragraph" w:customStyle="1" w:styleId="5">
    <w:name w:val="纯文本1"/>
    <w:basedOn w:val="1"/>
    <w:autoRedefine/>
    <w:qFormat/>
    <w:uiPriority w:val="0"/>
    <w:pPr>
      <w:adjustRightInd w:val="0"/>
      <w:jc w:val="center"/>
    </w:pPr>
    <w:rPr>
      <w:rFonts w:ascii="宋体" w:hAnsi="Courier New"/>
      <w:szCs w:val="20"/>
    </w:rPr>
  </w:style>
  <w:style w:type="paragraph" w:customStyle="1" w:styleId="6">
    <w:name w:val="封面工程项目名称"/>
    <w:basedOn w:val="1"/>
    <w:autoRedefine/>
    <w:qFormat/>
    <w:uiPriority w:val="0"/>
    <w:pPr>
      <w:jc w:val="center"/>
    </w:pPr>
    <w:rPr>
      <w:rFonts w:eastAsia="楷体_GB2312" w:cs="宋体"/>
      <w:b/>
      <w:bCs/>
      <w:spacing w:val="24"/>
      <w:sz w:val="52"/>
      <w:szCs w:val="20"/>
    </w:rPr>
  </w:style>
  <w:style w:type="paragraph" w:customStyle="1" w:styleId="7">
    <w:name w:val="表格文字2"/>
    <w:basedOn w:val="1"/>
    <w:autoRedefine/>
    <w:qFormat/>
    <w:uiPriority w:val="0"/>
    <w:pPr>
      <w:tabs>
        <w:tab w:val="left" w:pos="277"/>
        <w:tab w:val="left" w:pos="600"/>
        <w:tab w:val="left" w:pos="780"/>
        <w:tab w:val="left" w:pos="2517"/>
      </w:tabs>
      <w:adjustRightInd w:val="0"/>
      <w:snapToGrid w:val="0"/>
      <w:spacing w:before="60" w:line="240" w:lineRule="auto"/>
      <w:jc w:val="center"/>
      <w:textAlignment w:val="baseline"/>
    </w:pPr>
    <w:rPr>
      <w:rFonts w:ascii="华文新魏" w:hAnsi="宋体" w:eastAsia="华文新魏" w:cs="宋体"/>
      <w:snapToGrid w:val="0"/>
      <w:color w:val="000000"/>
      <w:kern w:val="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1148</Words>
  <Characters>1224</Characters>
  <Lines>0</Lines>
  <Paragraphs>0</Paragraphs>
  <TotalTime>1</TotalTime>
  <ScaleCrop>false</ScaleCrop>
  <LinksUpToDate>false</LinksUpToDate>
  <CharactersWithSpaces>1233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wwz12</dc:creator>
  <cp:lastModifiedBy>仲</cp:lastModifiedBy>
  <dcterms:modified xsi:type="dcterms:W3CDTF">2024-12-13T08:18:15Z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2B68C56F1098404C96808556C4774857_12</vt:lpwstr>
  </property>
</Properties>
</file>